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9C3" w:rsidRPr="00E43802" w:rsidRDefault="00BB49C3" w:rsidP="00BB49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  <w:r w:rsidRPr="00E438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АННОТАЦИЯ</w:t>
      </w:r>
      <w:r w:rsidRPr="00E438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>образовательной программы подготовки бакалавров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br/>
        <w:t xml:space="preserve">Направление подготовки: 40.03.01 </w:t>
      </w:r>
      <w:r w:rsidRPr="00E43802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Юриспруденция 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Код и наименование направления подготовки: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40.03.01 «Юриспруденция»;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Квалификация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академический бакалавр;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Форма обучения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очная,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заочная;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Нормативный срок обучения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очная форма - 4 года;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очно-заочная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- 5 лет; заочная - 5 лет</w:t>
      </w: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; 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Языки, на которых осуществляется обучение: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Описание образовательной программы:</w:t>
      </w:r>
    </w:p>
    <w:p w:rsidR="0096415E" w:rsidRPr="00426F2F" w:rsidRDefault="0096415E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Профессиональная н</w:t>
      </w:r>
      <w:r w:rsidR="00F94815"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аправленность:</w:t>
      </w:r>
      <w:r w:rsidR="0058316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видами профессиональной деятельности бакалавров являются</w:t>
      </w:r>
      <w:r w:rsidR="00045046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нормотворческая, правоприменительная, правоохранительная, экспертно-консультационная. </w:t>
      </w:r>
    </w:p>
    <w:p w:rsidR="00045046" w:rsidRPr="00426F2F" w:rsidRDefault="00045046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15E" w:rsidRPr="00426F2F" w:rsidRDefault="0096415E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Область профессиональной деятельности 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бакалавров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включает: разработку и реализацию правовых норм; обеспечение законности и правопорядка.</w:t>
      </w:r>
    </w:p>
    <w:p w:rsidR="00045046" w:rsidRPr="00426F2F" w:rsidRDefault="00045046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415E" w:rsidRPr="00426F2F" w:rsidRDefault="0096415E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Объектами профессиональной деятельности 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выпускников, освоивших программу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бакалавриата</w:t>
      </w:r>
      <w:proofErr w:type="spellEnd"/>
      <w:r w:rsidR="00045046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являются: общественные отношения в сфере реализации правовых норм, обеспечения законности  и правопорядка. </w:t>
      </w:r>
    </w:p>
    <w:p w:rsidR="00045046" w:rsidRPr="00426F2F" w:rsidRDefault="00045046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B8625F" w:rsidRPr="00426F2F" w:rsidRDefault="00045046" w:rsidP="00426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Цел</w:t>
      </w:r>
      <w:r w:rsidR="00B8625F" w:rsidRPr="00426F2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ью программы </w:t>
      </w:r>
      <w:r w:rsidR="00B8625F" w:rsidRPr="00426F2F">
        <w:rPr>
          <w:rFonts w:ascii="Times New Roman" w:hAnsi="Times New Roman" w:cs="Times New Roman"/>
          <w:sz w:val="24"/>
          <w:szCs w:val="24"/>
        </w:rPr>
        <w:t xml:space="preserve">является формирование универсальных общенаучных, инструментальных, социально-личностных компетенций, а также  </w:t>
      </w:r>
      <w:proofErr w:type="spellStart"/>
      <w:r w:rsidR="00B8625F" w:rsidRPr="00426F2F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="00B8625F" w:rsidRPr="00426F2F">
        <w:rPr>
          <w:rFonts w:ascii="Times New Roman" w:hAnsi="Times New Roman" w:cs="Times New Roman"/>
          <w:sz w:val="24"/>
          <w:szCs w:val="24"/>
        </w:rPr>
        <w:t xml:space="preserve"> и профессиональных компетенций, необходимых для эффективного осуществления нормотворческой, правоприменительной, правоохранительной и экспертно-консультационной деятельности. </w:t>
      </w:r>
    </w:p>
    <w:p w:rsidR="0096415E" w:rsidRPr="00426F2F" w:rsidRDefault="00B8625F" w:rsidP="00426F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6F2F">
        <w:rPr>
          <w:rFonts w:ascii="Times New Roman" w:hAnsi="Times New Roman" w:cs="Times New Roman"/>
          <w:sz w:val="24"/>
          <w:szCs w:val="24"/>
        </w:rPr>
        <w:t xml:space="preserve">Программа обеспечивает получение фундаментальных знаний в области гуманитарных, социально-экономических, </w:t>
      </w:r>
      <w:proofErr w:type="spellStart"/>
      <w:proofErr w:type="gramStart"/>
      <w:r w:rsidRPr="00426F2F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426F2F">
        <w:rPr>
          <w:rFonts w:ascii="Times New Roman" w:hAnsi="Times New Roman" w:cs="Times New Roman"/>
          <w:sz w:val="24"/>
          <w:szCs w:val="24"/>
        </w:rPr>
        <w:t xml:space="preserve">, а также </w:t>
      </w:r>
      <w:proofErr w:type="spellStart"/>
      <w:r w:rsidRPr="00426F2F">
        <w:rPr>
          <w:rFonts w:ascii="Times New Roman" w:hAnsi="Times New Roman" w:cs="Times New Roman"/>
          <w:sz w:val="24"/>
          <w:szCs w:val="24"/>
        </w:rPr>
        <w:t>общепрофессиональных</w:t>
      </w:r>
      <w:proofErr w:type="spellEnd"/>
      <w:r w:rsidRPr="00426F2F">
        <w:rPr>
          <w:rFonts w:ascii="Times New Roman" w:hAnsi="Times New Roman" w:cs="Times New Roman"/>
          <w:sz w:val="24"/>
          <w:szCs w:val="24"/>
        </w:rPr>
        <w:t xml:space="preserve">  и профессиональных дисциплин, воспитывающих юридическую культуру и </w:t>
      </w:r>
      <w:r w:rsidR="00B954A4" w:rsidRPr="00426F2F">
        <w:rPr>
          <w:rFonts w:ascii="Times New Roman" w:hAnsi="Times New Roman" w:cs="Times New Roman"/>
          <w:sz w:val="24"/>
          <w:szCs w:val="24"/>
        </w:rPr>
        <w:t xml:space="preserve">формирующих </w:t>
      </w:r>
      <w:r w:rsidRPr="00426F2F">
        <w:rPr>
          <w:rFonts w:ascii="Times New Roman" w:hAnsi="Times New Roman" w:cs="Times New Roman"/>
          <w:sz w:val="24"/>
          <w:szCs w:val="24"/>
        </w:rPr>
        <w:t>необходимые компетенции, способствующие социальной мобильности и устойчивости на рынке труда.</w:t>
      </w:r>
    </w:p>
    <w:p w:rsidR="00F94815" w:rsidRPr="00426F2F" w:rsidRDefault="00F94815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Подходы к обучению, способы оценки: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Учебный процесс реализуется с применением накопительной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балльно-рейтинговой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 оценивания учебных достижений студентов.</w:t>
      </w:r>
    </w:p>
    <w:p w:rsidR="00F94815" w:rsidRPr="00426F2F" w:rsidRDefault="00F94815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качества освоения дисциплин по направлению подготовки «Юриспруденция» включает текущую, промежуточную и итоговую государственную аттестацию обучающихся.</w:t>
      </w: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Промежуточная аттестация осуществляется как в форме устных (письменных) экзаменов и зачетов, так и с использованием промежуточного и итогового тестирования через Центр дистанционного образования.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Ежегодно в соответствии с Приказом ректора проводится тестирование студентов по остаточному уровню знаний в режиме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on-line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Итоги письменных работ, а также результаты тестирования обсуждаются преподавателем со студентами.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 для письменных экзаменов включают решения задач, казусов, практических ситуаций, направленных на формирование навыков применения норм права, правовой аргументации и способности решать аналитические задачи.</w:t>
      </w:r>
    </w:p>
    <w:p w:rsidR="00F94815" w:rsidRPr="00426F2F" w:rsidRDefault="00F94815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Перечень дисциплин в составе образовательной программы:</w:t>
      </w:r>
    </w:p>
    <w:p w:rsidR="00426F2F" w:rsidRPr="00426F2F" w:rsidRDefault="00426F2F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94815" w:rsidRPr="00426F2F" w:rsidRDefault="00B8625F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Программа </w:t>
      </w:r>
      <w:proofErr w:type="spellStart"/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бакалавриата</w:t>
      </w:r>
      <w:proofErr w:type="spellEnd"/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состоит их следующих блоков:</w:t>
      </w:r>
    </w:p>
    <w:p w:rsidR="00426F2F" w:rsidRPr="00426F2F" w:rsidRDefault="00426F2F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B8625F" w:rsidRPr="00426F2F" w:rsidRDefault="00B8625F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Блок 1 «Дисциплины (модули), </w:t>
      </w:r>
      <w:r w:rsidRPr="00426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который включает дисциплины (модули), относящиеся к базовой части программы,  дисциплины (модули) относящиеся к вариативной части.</w:t>
      </w:r>
    </w:p>
    <w:p w:rsidR="00426F2F" w:rsidRPr="00426F2F" w:rsidRDefault="00426F2F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25F" w:rsidRPr="00426F2F" w:rsidRDefault="00B8625F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2 «Практики»,</w:t>
      </w:r>
      <w:r w:rsidRPr="00426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который в полном объеме относится к базовой части программы.</w:t>
      </w:r>
    </w:p>
    <w:p w:rsidR="00426F2F" w:rsidRPr="00426F2F" w:rsidRDefault="00426F2F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B8625F" w:rsidRPr="00426F2F" w:rsidRDefault="00B8625F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Блок 3</w:t>
      </w:r>
      <w:r w:rsidRPr="00426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«Государственная итоговая аттестация»,</w:t>
      </w:r>
      <w:r w:rsidRPr="00426F2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который в полном объеме относится к базовой части программы.</w:t>
      </w:r>
    </w:p>
    <w:p w:rsidR="00F94815" w:rsidRPr="00426F2F" w:rsidRDefault="00426F2F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 Б</w:t>
      </w:r>
      <w:r w:rsidR="00DF5C80" w:rsidRPr="00426F2F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локе 1</w:t>
      </w:r>
      <w:r w:rsidR="00DF5C80" w:rsidRPr="00426F2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предусматривает</w:t>
      </w:r>
      <w:r w:rsidR="00DF5C80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с</w:t>
      </w:r>
      <w:r w:rsidR="00137872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ледующих обязательных дисциплин, формирующих общекультурные и </w:t>
      </w:r>
      <w:proofErr w:type="spellStart"/>
      <w:r w:rsidR="00137872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общепрофессиональные</w:t>
      </w:r>
      <w:proofErr w:type="spellEnd"/>
      <w:r w:rsidR="00137872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компетенции: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"Философия", "Иностр</w:t>
      </w:r>
      <w:r w:rsidR="00DF5C80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анный язы</w:t>
      </w:r>
      <w:r w:rsidR="00D97A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"Экономика", "Профессиональная этика</w:t>
      </w:r>
      <w:r w:rsidR="00DF5C80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стандарты </w:t>
      </w:r>
      <w:proofErr w:type="spellStart"/>
      <w:r w:rsidR="00DF5C80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антикоррупционного</w:t>
      </w:r>
      <w:proofErr w:type="spellEnd"/>
      <w:r w:rsidR="00DF5C80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", "</w:t>
      </w:r>
      <w:r w:rsidR="00DF5C80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Безопасность жизнедеятельности", «Культура здоровья», «Естественнонаучная картина мира», «Русский язык в сфере профессиональной коммуникации», «Психология деловых и межличностных коммуникаций»</w:t>
      </w:r>
      <w:r w:rsidR="00102EA8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«Информационно-коммуни</w:t>
      </w:r>
      <w:r w:rsidR="00E7500F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r w:rsidR="00102EA8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ционные технологии»</w:t>
      </w:r>
      <w:r w:rsidR="00E7500F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«Современные технологии сбора, обработки и анализа правовой информации».</w:t>
      </w:r>
    </w:p>
    <w:p w:rsidR="00F94815" w:rsidRPr="00426F2F" w:rsidRDefault="00137872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Формирование </w:t>
      </w:r>
      <w:proofErr w:type="spellStart"/>
      <w:r w:rsidRPr="00D9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общепрофессиональных</w:t>
      </w:r>
      <w:proofErr w:type="spellEnd"/>
      <w:r w:rsidRPr="00D97AA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и профессиональных компетенций обеспечивают следующие дисциплины Блока 1: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«Теория государства и права», «Отечественная история государства и права», «Зарубежная история государства и права», «Конституционное право»,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«Административное право»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«Гражданское право»,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«Гражданский процесс», «Арбитражный процесс», «Трудовое право», «Уголовное право», «Уголовный процесс», «Экологическое право», «Земельное право», «Финансовое право», «Налоговое право», «Предпринимательское право»,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«Международное право», «Международное частное право», «Криминалистика», «Право социального обеспечения».</w:t>
      </w:r>
      <w:proofErr w:type="gramEnd"/>
    </w:p>
    <w:p w:rsidR="00F94815" w:rsidRPr="00426F2F" w:rsidRDefault="00F94815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Аннотация программы практики: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Практика представляет собой вид учебных занятий, непосредственно ориентированных на профессионально-практическую подготовку обучающихся. Практики закрепляют знания и умения, приобретаемые </w:t>
      </w:r>
      <w:proofErr w:type="gram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результате освоения теоретических курсов, вырабатывают практические навыки и способствуют комплексному формированию общекультурных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общепрофессиональных</w:t>
      </w:r>
      <w:proofErr w:type="spellEnd"/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профессиональных компетенций обучающихся.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практики в рамках данного направления подготовки предусматривает два основных вида: учебную практику и производственную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(преддипломную)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954A4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Учебная практика проводится на 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 курсе в 4 семестре в течение двух недель. Она осуществляется в органах государственной власти и органах местного самоуправления. </w:t>
      </w:r>
    </w:p>
    <w:p w:rsidR="00F94815" w:rsidRPr="00426F2F" w:rsidRDefault="00B954A4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Учебная практика проводится  на 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 к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урсе в 6 семестре в течение четырех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недель. Она осуществля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ется в органах МВД, Прокуратуре, в Следственном комитете РФ по РО</w:t>
      </w:r>
      <w:r w:rsidR="00F94815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адвокатуре и в суде.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Учебная практика может быть пройдена студентом в Правовой клинике юридического факультета. Правовая клиника - форма прохождения практики, состоящая в оказании студентами под руководством преподавателей бесплатных юридических услуг малоимущим гражданам.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(преддипломная)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проводится на 4 курсе в 8 семестре в течение 6 недель. Руководство осуществляется научным руководителем, который определяет тему выпускной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квалификационной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работы, место прохождения практики и задание по практике.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Производственная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(преддипломная)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практика носит обязательный характер и направлена на получение студентами необходимых компетенций.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совершенствования подготовки бакалавров в области юриспруденции были заключены следующие договоры о сотрудничестве, в том числе и для прохождения практики: с Арбитражным судом Ростовской области, Пятнадцатым Арбитражным судом РФ, Прокуратурой Ростовской области, Следственным комитетом при Прокуратуре РФ, 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Управлением ФССП России по Ростовской области,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Контрольно-счетной палатой Ростовской области, Управлением Судебного департамента при Верховном Суде РФ, Главным управлением внутренних дел по</w:t>
      </w:r>
      <w:proofErr w:type="gram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Ростовской области, Адвокатской палатой, аппаратом Упол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номоченного по правам человека и др. 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Материально-техническое обеспечение образовательной деятельности: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Юридический факультет, реализующий данное направление подготовки, располагает материально-технической базой, обеспечивающей проведение всех видов дисциплинарной и междисциплинарной подготовки, лекционной, практической и научно-исследовательской работы обучающихся, предусмотренных учебным планом, и соответствует действующим санитарным и противопожарным правилам и нормам.</w:t>
      </w:r>
      <w:proofErr w:type="gramEnd"/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структуру юридического факультета входит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межкафедральная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учебная лаборатория экспериментальной криминологии и криминалистическая лаборатория, включающие:</w:t>
      </w:r>
      <w:proofErr w:type="gramEnd"/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 компьютеров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Deccoptiplex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775;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2.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Передвижной презентационный комплекс ASUS;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Переносную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звукоусилительную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систему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Fender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150;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Цифровую видеокамеру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Panasonic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 xml:space="preserve">5.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Цифровые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фотокамеры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Pentax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Optima, Canon 400D, Canon Power Shot;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6. </w:t>
      </w:r>
      <w:proofErr w:type="gram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Программное обеспечение: обучающие игры по криминалистике, юридической психологии и криминологическому прогнозированию («Следователь», «Убийство», «Изнасилование».</w:t>
      </w:r>
      <w:proofErr w:type="gram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Производитель «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Юринфор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»).</w:t>
      </w:r>
      <w:proofErr w:type="gramEnd"/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Каждому студенту открыт доступ к электронно-библиотечной системе, содержащей издания по основным обучающим </w:t>
      </w:r>
      <w:proofErr w:type="spell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дисциплинам</w:t>
      </w:r>
      <w:proofErr w:type="gramStart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,п</w:t>
      </w:r>
      <w:proofErr w:type="gram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редоставлена</w:t>
      </w:r>
      <w:proofErr w:type="spellEnd"/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возможность использования правовой системы «Гарант».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Библиотечный фонд укомплектован печатными и электронными изданиями основной учебной литературы по дисциплинам направления подготовки в соответствии с нормативными требованиями.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Результаты освоения программы: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Выпускника направления подготовки «Юриспруденция» отличает высокая степень общей культуры: гражданская позиция, патриотизм, уважение к закону и идеалам правового государства, а также востребованные профессиональные компетенции:</w:t>
      </w:r>
    </w:p>
    <w:p w:rsidR="00F94815" w:rsidRPr="00426F2F" w:rsidRDefault="00F94815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нормотворческой деятельности выпускник готов: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участвовать в разработке нормативно-правовых актов</w:t>
      </w:r>
      <w:r w:rsidR="00B954A4"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профилем профессиональной деятельности;</w:t>
      </w: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94815" w:rsidRPr="00426F2F" w:rsidRDefault="00F94815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правоприменительной деятельности выпускник сможет:</w:t>
      </w:r>
    </w:p>
    <w:p w:rsidR="00F94815" w:rsidRPr="00426F2F" w:rsidRDefault="00F94815" w:rsidP="00426F2F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профессиональную деятельность на основе развитого правосознания, правового мышления и правовой культуры;</w:t>
      </w:r>
    </w:p>
    <w:p w:rsidR="00F94815" w:rsidRPr="00426F2F" w:rsidRDefault="00F94815" w:rsidP="00426F2F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обеспечивать соблюдение законодательства субъектами права;</w:t>
      </w:r>
    </w:p>
    <w:p w:rsidR="00F94815" w:rsidRPr="00426F2F" w:rsidRDefault="00F94815" w:rsidP="00426F2F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и совершать юридические действия в точном соответствии с законом;</w:t>
      </w:r>
    </w:p>
    <w:p w:rsidR="00F94815" w:rsidRPr="00426F2F" w:rsidRDefault="00F94815" w:rsidP="00426F2F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F94815" w:rsidRPr="00426F2F" w:rsidRDefault="00F94815" w:rsidP="00426F2F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юридически правильно квалифицировать факты и обстоятельства;</w:t>
      </w:r>
    </w:p>
    <w:p w:rsidR="00F94815" w:rsidRPr="00426F2F" w:rsidRDefault="00F94815" w:rsidP="00426F2F">
      <w:pPr>
        <w:numPr>
          <w:ilvl w:val="0"/>
          <w:numId w:val="2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владеть навыками подготовки юридических документов;</w:t>
      </w:r>
    </w:p>
    <w:p w:rsidR="00F94815" w:rsidRPr="00426F2F" w:rsidRDefault="00F94815" w:rsidP="00426F2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правоохранительной деятельности выпускник способен:</w:t>
      </w:r>
    </w:p>
    <w:p w:rsidR="00F94815" w:rsidRPr="00426F2F" w:rsidRDefault="00F94815" w:rsidP="00426F2F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выявлять, пресекать, раскрывать и расследовать преступления и иные правонарушения;</w:t>
      </w:r>
    </w:p>
    <w:p w:rsidR="00F94815" w:rsidRPr="00426F2F" w:rsidRDefault="00F94815" w:rsidP="00426F2F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предупреждение правонарушений, выявлять и устранять причины и условия, способствующие их совершению;</w:t>
      </w:r>
    </w:p>
    <w:p w:rsidR="00F94815" w:rsidRPr="00426F2F" w:rsidRDefault="00F94815" w:rsidP="00426F2F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выявлять, давать оценку коррупционного поведения и содействовать его пресечению;</w:t>
      </w:r>
    </w:p>
    <w:p w:rsidR="00F94815" w:rsidRPr="00426F2F" w:rsidRDefault="00F94815" w:rsidP="00426F2F">
      <w:pPr>
        <w:numPr>
          <w:ilvl w:val="0"/>
          <w:numId w:val="3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и полно отражать результаты профессиональной деятельности в юридической и иной документации;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 экспертно-консультационной деятельности выпускник сможет:</w:t>
      </w:r>
    </w:p>
    <w:p w:rsidR="00F94815" w:rsidRPr="00426F2F" w:rsidRDefault="00F94815" w:rsidP="00426F2F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принимать участие в проведении юридической экспертизы проектов нормативных правовых актов, в том числе в целях выявления в них положений, способствующих созданию условий для проявления коррупции;</w:t>
      </w:r>
    </w:p>
    <w:p w:rsidR="00F94815" w:rsidRPr="00426F2F" w:rsidRDefault="00F94815" w:rsidP="00426F2F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толковать различные правовые акты;</w:t>
      </w:r>
    </w:p>
    <w:p w:rsidR="00F94815" w:rsidRPr="00426F2F" w:rsidRDefault="00F94815" w:rsidP="00426F2F">
      <w:pPr>
        <w:numPr>
          <w:ilvl w:val="0"/>
          <w:numId w:val="4"/>
        </w:numPr>
        <w:shd w:val="clear" w:color="auto" w:fill="FFFFFF"/>
        <w:spacing w:before="75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давать квалифицированные юридические заключения и консультации в конкретных видах юридической деятельности;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Трудоустройство выпускников: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Выпускники по направлению подготовки 40.03.01 «Юриспруденция» могут работать в арбитражных судах и судах общей юрисдикции, правоохранительных органах, органах юстиции; органах системы исполнения наказаний; адвокатуре; судах; ФСБ; ФНС; прокуратуре; на государственной гражданской службе; в качестве юрисконсульта публичных и частных корпораций; в органах законодательной и исполнительной власти и др.</w:t>
      </w:r>
    </w:p>
    <w:p w:rsidR="00F94815" w:rsidRPr="00426F2F" w:rsidRDefault="00F94815" w:rsidP="00426F2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6F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Выпускникам, освоившим основную образовательную программу высшего профессионального образования с квалификацией бакалавр, предоставляется возможность продолжения обучения в </w:t>
      </w:r>
      <w:r w:rsidRPr="00426F2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магистратуре.</w:t>
      </w:r>
    </w:p>
    <w:p w:rsidR="00C86716" w:rsidRPr="00426F2F" w:rsidRDefault="00C86716">
      <w:pPr>
        <w:rPr>
          <w:rFonts w:ascii="Times New Roman" w:hAnsi="Times New Roman" w:cs="Times New Roman"/>
          <w:sz w:val="24"/>
          <w:szCs w:val="24"/>
        </w:rPr>
      </w:pPr>
    </w:p>
    <w:sectPr w:rsidR="00C86716" w:rsidRPr="00426F2F" w:rsidSect="00B954A4"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605" w:rsidRDefault="00E67605" w:rsidP="00F630BF">
      <w:pPr>
        <w:spacing w:after="0" w:line="240" w:lineRule="auto"/>
      </w:pPr>
      <w:r>
        <w:separator/>
      </w:r>
    </w:p>
  </w:endnote>
  <w:endnote w:type="continuationSeparator" w:id="0">
    <w:p w:rsidR="00E67605" w:rsidRDefault="00E67605" w:rsidP="00F63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605" w:rsidRDefault="00E67605" w:rsidP="00F630BF">
      <w:pPr>
        <w:spacing w:after="0" w:line="240" w:lineRule="auto"/>
      </w:pPr>
      <w:r>
        <w:separator/>
      </w:r>
    </w:p>
  </w:footnote>
  <w:footnote w:type="continuationSeparator" w:id="0">
    <w:p w:rsidR="00E67605" w:rsidRDefault="00E67605" w:rsidP="00F63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179A9"/>
    <w:multiLevelType w:val="multilevel"/>
    <w:tmpl w:val="47D8B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3831E5"/>
    <w:multiLevelType w:val="multilevel"/>
    <w:tmpl w:val="BDDE7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8106E18"/>
    <w:multiLevelType w:val="multilevel"/>
    <w:tmpl w:val="C4EE8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4871F2D"/>
    <w:multiLevelType w:val="multilevel"/>
    <w:tmpl w:val="8C7AA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815"/>
    <w:rsid w:val="00045046"/>
    <w:rsid w:val="000B2F4A"/>
    <w:rsid w:val="00102EA8"/>
    <w:rsid w:val="00137872"/>
    <w:rsid w:val="00426F2F"/>
    <w:rsid w:val="005173E8"/>
    <w:rsid w:val="00583165"/>
    <w:rsid w:val="0096415E"/>
    <w:rsid w:val="00B8625F"/>
    <w:rsid w:val="00B954A4"/>
    <w:rsid w:val="00BB49C3"/>
    <w:rsid w:val="00BF73A6"/>
    <w:rsid w:val="00C16416"/>
    <w:rsid w:val="00C86716"/>
    <w:rsid w:val="00D10A90"/>
    <w:rsid w:val="00D97AA0"/>
    <w:rsid w:val="00DF5C80"/>
    <w:rsid w:val="00E67605"/>
    <w:rsid w:val="00E7500F"/>
    <w:rsid w:val="00F630BF"/>
    <w:rsid w:val="00F94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630BF"/>
  </w:style>
  <w:style w:type="paragraph" w:styleId="a5">
    <w:name w:val="footer"/>
    <w:basedOn w:val="a"/>
    <w:link w:val="a6"/>
    <w:uiPriority w:val="99"/>
    <w:semiHidden/>
    <w:unhideWhenUsed/>
    <w:rsid w:val="00F63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630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24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06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8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1518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10157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StregloVE</dc:creator>
  <cp:lastModifiedBy>User</cp:lastModifiedBy>
  <cp:revision>2</cp:revision>
  <dcterms:created xsi:type="dcterms:W3CDTF">2015-03-14T10:35:00Z</dcterms:created>
  <dcterms:modified xsi:type="dcterms:W3CDTF">2015-03-14T10:35:00Z</dcterms:modified>
</cp:coreProperties>
</file>